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60F94" w14:textId="77777777" w:rsidR="00C61C49" w:rsidRPr="00C61C49" w:rsidRDefault="00C61C49" w:rsidP="0070796E">
      <w:pPr>
        <w:autoSpaceDE w:val="0"/>
        <w:autoSpaceDN w:val="0"/>
        <w:adjustRightInd w:val="0"/>
        <w:rPr>
          <w:rFonts w:cs="Bliss-Light"/>
          <w:color w:val="000000"/>
        </w:rPr>
      </w:pPr>
      <w:r>
        <w:rPr>
          <w:rFonts w:cs="Bliss-Light"/>
          <w:b/>
          <w:color w:val="000000"/>
          <w:sz w:val="24"/>
          <w:szCs w:val="24"/>
        </w:rPr>
        <w:tab/>
      </w:r>
      <w:r>
        <w:rPr>
          <w:rFonts w:cs="Bliss-Light"/>
          <w:b/>
          <w:color w:val="000000"/>
          <w:sz w:val="24"/>
          <w:szCs w:val="24"/>
        </w:rPr>
        <w:tab/>
      </w:r>
      <w:r>
        <w:rPr>
          <w:rFonts w:cs="Bliss-Light"/>
          <w:b/>
          <w:color w:val="000000"/>
          <w:sz w:val="24"/>
          <w:szCs w:val="24"/>
        </w:rPr>
        <w:tab/>
      </w:r>
      <w:r>
        <w:rPr>
          <w:rFonts w:cs="Bliss-Light"/>
          <w:b/>
          <w:color w:val="000000"/>
          <w:sz w:val="24"/>
          <w:szCs w:val="24"/>
        </w:rPr>
        <w:tab/>
      </w:r>
      <w:r>
        <w:rPr>
          <w:rFonts w:cs="Bliss-Light"/>
          <w:b/>
          <w:color w:val="000000"/>
          <w:sz w:val="24"/>
          <w:szCs w:val="24"/>
        </w:rPr>
        <w:tab/>
      </w:r>
    </w:p>
    <w:p w14:paraId="0A309F53" w14:textId="77777777" w:rsidR="0025479A" w:rsidRDefault="00E005F8" w:rsidP="00FA2F02">
      <w:pPr>
        <w:autoSpaceDE w:val="0"/>
        <w:autoSpaceDN w:val="0"/>
        <w:adjustRightInd w:val="0"/>
        <w:ind w:left="-1260"/>
        <w:rPr>
          <w:rFonts w:cs="Bliss-Light"/>
          <w:b/>
          <w:color w:val="000000"/>
          <w:sz w:val="24"/>
          <w:szCs w:val="24"/>
        </w:rPr>
      </w:pPr>
      <w:r w:rsidRPr="0070796E">
        <w:rPr>
          <w:rFonts w:ascii="Calibri" w:hAnsi="Calibri" w:cs="Calibri"/>
          <w:b/>
          <w:color w:val="000000"/>
          <w:sz w:val="22"/>
          <w:szCs w:val="22"/>
        </w:rPr>
        <w:t>Those awarded HLTA status must meet all of the following 33 standards</w:t>
      </w:r>
      <w:r w:rsidRPr="0025479A">
        <w:rPr>
          <w:rFonts w:cs="Bliss-Light"/>
          <w:b/>
          <w:color w:val="000000"/>
          <w:sz w:val="24"/>
          <w:szCs w:val="24"/>
        </w:rPr>
        <w:t>:</w:t>
      </w:r>
      <w:r w:rsidR="00FA2F02">
        <w:rPr>
          <w:rFonts w:cs="Bliss-Light"/>
          <w:b/>
          <w:color w:val="000000"/>
          <w:sz w:val="24"/>
          <w:szCs w:val="24"/>
        </w:rPr>
        <w:t xml:space="preserve">      </w:t>
      </w:r>
    </w:p>
    <w:tbl>
      <w:tblPr>
        <w:tblW w:w="1041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2334"/>
        <w:gridCol w:w="1975"/>
        <w:gridCol w:w="1975"/>
        <w:gridCol w:w="2155"/>
      </w:tblGrid>
      <w:tr w:rsidR="00F41BDE" w:rsidRPr="0070796E" w14:paraId="49E2A160" w14:textId="77777777" w:rsidTr="00B175C7">
        <w:trPr>
          <w:trHeight w:val="966"/>
        </w:trPr>
        <w:tc>
          <w:tcPr>
            <w:tcW w:w="1975" w:type="dxa"/>
          </w:tcPr>
          <w:p w14:paraId="065CDEB1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Professional attributes</w:t>
            </w:r>
          </w:p>
          <w:p w14:paraId="33D7CDDF" w14:textId="77777777" w:rsidR="008A51F7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Those awarded HLTA status must demonstrate, through their practice, that they:</w:t>
            </w:r>
          </w:p>
        </w:tc>
        <w:tc>
          <w:tcPr>
            <w:tcW w:w="2334" w:type="dxa"/>
          </w:tcPr>
          <w:p w14:paraId="7901A5DF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Professional knowledge and understanding</w:t>
            </w:r>
          </w:p>
          <w:p w14:paraId="4F454F40" w14:textId="77777777" w:rsidR="008A51F7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Those awarded HLTA status must demonstrate, through their practice, that they:</w:t>
            </w:r>
          </w:p>
        </w:tc>
        <w:tc>
          <w:tcPr>
            <w:tcW w:w="6105" w:type="dxa"/>
            <w:gridSpan w:val="3"/>
          </w:tcPr>
          <w:p w14:paraId="30FE322D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70796E">
              <w:rPr>
                <w:rFonts w:ascii="Calibri" w:hAnsi="Calibri" w:cs="Calibri"/>
                <w:b/>
                <w:bCs/>
                <w:i/>
                <w:color w:val="000000"/>
                <w:sz w:val="18"/>
                <w:szCs w:val="18"/>
              </w:rPr>
              <w:t>Professional skills</w:t>
            </w:r>
          </w:p>
          <w:p w14:paraId="22D7BFB7" w14:textId="77777777" w:rsidR="00F41BDE" w:rsidRPr="00B175C7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B175C7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Teaching and learning activities must take place under the direction and supervision of an assigned teacher and in accordance with arrangements made by the Headteacher of the school.</w:t>
            </w:r>
          </w:p>
        </w:tc>
      </w:tr>
      <w:tr w:rsidR="00F41BDE" w:rsidRPr="0070796E" w14:paraId="5E9E706B" w14:textId="77777777" w:rsidTr="002D7A41">
        <w:trPr>
          <w:trHeight w:val="1175"/>
        </w:trPr>
        <w:tc>
          <w:tcPr>
            <w:tcW w:w="1975" w:type="dxa"/>
          </w:tcPr>
          <w:p w14:paraId="1655CE2C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34" w:type="dxa"/>
          </w:tcPr>
          <w:p w14:paraId="74D32FD8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</w:tcPr>
          <w:p w14:paraId="64DF64B5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i/>
                <w:color w:val="000000"/>
                <w:sz w:val="16"/>
                <w:szCs w:val="16"/>
              </w:rPr>
              <w:t>Planning and expectations</w:t>
            </w:r>
          </w:p>
          <w:p w14:paraId="69275BAD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Those awarded HLTA status must demonstrate,</w:t>
            </w:r>
            <w:r w:rsidR="00DA7BA8"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r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through their practice, that they:</w:t>
            </w:r>
          </w:p>
          <w:p w14:paraId="25F4F994" w14:textId="77777777" w:rsidR="008A51F7" w:rsidRPr="0070796E" w:rsidRDefault="008A51F7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</w:tcPr>
          <w:p w14:paraId="421774AA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Monitoring and assessment</w:t>
            </w:r>
          </w:p>
          <w:p w14:paraId="18E365B1" w14:textId="77777777" w:rsidR="008A51F7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Those awarded HLTA status must demonstrate,</w:t>
            </w:r>
            <w:r w:rsidR="00DA7BA8"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r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through their practice, that they:</w:t>
            </w:r>
          </w:p>
        </w:tc>
        <w:tc>
          <w:tcPr>
            <w:tcW w:w="2154" w:type="dxa"/>
          </w:tcPr>
          <w:p w14:paraId="66C0F929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Teaching and learning activities</w:t>
            </w:r>
          </w:p>
          <w:p w14:paraId="14238D23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Those awarded HLTA status must demonstrate,</w:t>
            </w:r>
            <w:r w:rsidR="00DA7BA8"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r w:rsidRPr="0070796E"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through their practice, that they:</w:t>
            </w:r>
          </w:p>
          <w:p w14:paraId="32EA3921" w14:textId="77777777" w:rsidR="008A51F7" w:rsidRPr="0070796E" w:rsidRDefault="008A51F7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</w:p>
        </w:tc>
      </w:tr>
      <w:tr w:rsidR="00F41BDE" w:rsidRPr="0070796E" w14:paraId="527C691B" w14:textId="77777777" w:rsidTr="002D7A41">
        <w:trPr>
          <w:trHeight w:val="1163"/>
        </w:trPr>
        <w:tc>
          <w:tcPr>
            <w:tcW w:w="1975" w:type="dxa"/>
          </w:tcPr>
          <w:p w14:paraId="7F4B9302" w14:textId="77777777" w:rsidR="0025479A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  <w:p w14:paraId="1153A146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H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ave high expectations of children and young people with a commitment to helping them fulfill their potential</w:t>
            </w:r>
          </w:p>
        </w:tc>
        <w:tc>
          <w:tcPr>
            <w:tcW w:w="2334" w:type="dxa"/>
          </w:tcPr>
          <w:p w14:paraId="505EC37C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</w:t>
            </w:r>
          </w:p>
          <w:p w14:paraId="5E7E49B5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U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nderstand the key factors that affect children and young people’s learning and progress</w:t>
            </w:r>
          </w:p>
        </w:tc>
        <w:tc>
          <w:tcPr>
            <w:tcW w:w="1975" w:type="dxa"/>
          </w:tcPr>
          <w:p w14:paraId="2DDE808B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</w:t>
            </w:r>
          </w:p>
          <w:p w14:paraId="4BF61B87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U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se their area(s) of expertise to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contribute to the planning and preparation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of learning activities</w:t>
            </w:r>
          </w:p>
        </w:tc>
        <w:tc>
          <w:tcPr>
            <w:tcW w:w="1975" w:type="dxa"/>
          </w:tcPr>
          <w:p w14:paraId="3B8AEB60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22</w:t>
            </w:r>
          </w:p>
          <w:p w14:paraId="5B7499D7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onitor learners’ responses to activities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and modify the approach accordingly</w:t>
            </w:r>
          </w:p>
        </w:tc>
        <w:tc>
          <w:tcPr>
            <w:tcW w:w="2154" w:type="dxa"/>
          </w:tcPr>
          <w:p w14:paraId="233EB063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26</w:t>
            </w:r>
          </w:p>
          <w:p w14:paraId="3701934B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U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se effective strategies to promote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positive behaviour</w:t>
            </w:r>
          </w:p>
        </w:tc>
      </w:tr>
      <w:tr w:rsidR="00F41BDE" w:rsidRPr="0070796E" w14:paraId="3FA199D8" w14:textId="77777777" w:rsidTr="002D7A41">
        <w:trPr>
          <w:trHeight w:val="1175"/>
        </w:trPr>
        <w:tc>
          <w:tcPr>
            <w:tcW w:w="1975" w:type="dxa"/>
          </w:tcPr>
          <w:p w14:paraId="09D907E1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  <w:p w14:paraId="660FF8C2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E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stablish fair, respectful, trusting, supportive and constructive relationships with children and young people</w:t>
            </w:r>
          </w:p>
        </w:tc>
        <w:tc>
          <w:tcPr>
            <w:tcW w:w="2334" w:type="dxa"/>
          </w:tcPr>
          <w:p w14:paraId="0DC72942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</w:t>
            </w:r>
          </w:p>
          <w:p w14:paraId="2C868957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K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now how to contribute to effective personalised provision by taking practical account of diversity</w:t>
            </w:r>
          </w:p>
        </w:tc>
        <w:tc>
          <w:tcPr>
            <w:tcW w:w="1975" w:type="dxa"/>
          </w:tcPr>
          <w:p w14:paraId="404FA992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</w:t>
            </w:r>
          </w:p>
          <w:p w14:paraId="4B290D25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U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se their area(s) of expertise to plan their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role in learning activities</w:t>
            </w:r>
          </w:p>
        </w:tc>
        <w:tc>
          <w:tcPr>
            <w:tcW w:w="1975" w:type="dxa"/>
          </w:tcPr>
          <w:p w14:paraId="00EA2CBF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23</w:t>
            </w:r>
          </w:p>
          <w:p w14:paraId="32C348DF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onitor learners’ progress in order to provide focused support and feedback</w:t>
            </w:r>
          </w:p>
        </w:tc>
        <w:tc>
          <w:tcPr>
            <w:tcW w:w="2154" w:type="dxa"/>
          </w:tcPr>
          <w:p w14:paraId="08CF504F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27</w:t>
            </w:r>
          </w:p>
          <w:p w14:paraId="144895A5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R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ecognise and respond appropriately to situations that challenge equality of opportunity</w:t>
            </w:r>
          </w:p>
        </w:tc>
      </w:tr>
      <w:tr w:rsidR="00F41BDE" w:rsidRPr="0070796E" w14:paraId="22D380E2" w14:textId="77777777" w:rsidTr="002D7A41">
        <w:trPr>
          <w:trHeight w:val="1163"/>
        </w:trPr>
        <w:tc>
          <w:tcPr>
            <w:tcW w:w="1975" w:type="dxa"/>
          </w:tcPr>
          <w:p w14:paraId="3597CCD2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  <w:p w14:paraId="1B997240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D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emonstrate the positive values, attitudes and behaviour they expect from children and young people</w:t>
            </w:r>
          </w:p>
        </w:tc>
        <w:tc>
          <w:tcPr>
            <w:tcW w:w="2334" w:type="dxa"/>
          </w:tcPr>
          <w:p w14:paraId="68C0D28C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</w:t>
            </w:r>
          </w:p>
          <w:p w14:paraId="485A21C5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H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ave sufficient understanding of their area(s) of expertise to support the development, learning and progress of children and young people</w:t>
            </w:r>
          </w:p>
        </w:tc>
        <w:tc>
          <w:tcPr>
            <w:tcW w:w="1975" w:type="dxa"/>
          </w:tcPr>
          <w:p w14:paraId="44CE6566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19</w:t>
            </w:r>
          </w:p>
          <w:p w14:paraId="3D14C3EF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D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evise clearly structured activities that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interest and motivate learners and advance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their learning</w:t>
            </w:r>
          </w:p>
        </w:tc>
        <w:tc>
          <w:tcPr>
            <w:tcW w:w="1975" w:type="dxa"/>
          </w:tcPr>
          <w:p w14:paraId="60AD8568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</w:t>
            </w:r>
          </w:p>
          <w:p w14:paraId="7BE3E1F6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S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upport the evaluation of learners’ progress using a range of assessment techniques</w:t>
            </w:r>
          </w:p>
        </w:tc>
        <w:tc>
          <w:tcPr>
            <w:tcW w:w="2154" w:type="dxa"/>
          </w:tcPr>
          <w:p w14:paraId="70608BE2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28</w:t>
            </w:r>
          </w:p>
          <w:p w14:paraId="42E33E22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U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se their ICT skills to advance learning</w:t>
            </w:r>
          </w:p>
        </w:tc>
      </w:tr>
      <w:tr w:rsidR="00F41BDE" w:rsidRPr="0070796E" w14:paraId="1D320821" w14:textId="77777777" w:rsidTr="002D7A41">
        <w:trPr>
          <w:trHeight w:val="1163"/>
        </w:trPr>
        <w:tc>
          <w:tcPr>
            <w:tcW w:w="1975" w:type="dxa"/>
          </w:tcPr>
          <w:p w14:paraId="27043279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  <w:p w14:paraId="671113A9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C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ommunicate effectively and sensitively with children, young people, colleagues, parents and carers</w:t>
            </w:r>
          </w:p>
        </w:tc>
        <w:tc>
          <w:tcPr>
            <w:tcW w:w="2334" w:type="dxa"/>
          </w:tcPr>
          <w:p w14:paraId="152C3415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</w:t>
            </w:r>
          </w:p>
          <w:p w14:paraId="5BD6BC81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H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ave achieved a nationally recognised qualification at level 2 or above in English /literacy and Mathematics/ numeracy</w:t>
            </w:r>
          </w:p>
        </w:tc>
        <w:tc>
          <w:tcPr>
            <w:tcW w:w="1975" w:type="dxa"/>
          </w:tcPr>
          <w:p w14:paraId="580A8784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</w:t>
            </w:r>
          </w:p>
          <w:p w14:paraId="26FDA6F3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P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lan how they will support the inclusion of the children and young people in the learning activities</w:t>
            </w:r>
          </w:p>
        </w:tc>
        <w:tc>
          <w:tcPr>
            <w:tcW w:w="1975" w:type="dxa"/>
          </w:tcPr>
          <w:p w14:paraId="6BFA8381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</w:t>
            </w:r>
          </w:p>
          <w:p w14:paraId="0493D3CB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C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ontribute to maintaining and analyzing records of learners’ progress.</w:t>
            </w:r>
          </w:p>
        </w:tc>
        <w:tc>
          <w:tcPr>
            <w:tcW w:w="2154" w:type="dxa"/>
          </w:tcPr>
          <w:p w14:paraId="3630C3D3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29</w:t>
            </w:r>
          </w:p>
          <w:p w14:paraId="07D54E85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dvance learning when working with individuals</w:t>
            </w:r>
          </w:p>
        </w:tc>
      </w:tr>
      <w:tr w:rsidR="00F41BDE" w:rsidRPr="0070796E" w14:paraId="142DCF2F" w14:textId="77777777" w:rsidTr="002D7A41">
        <w:trPr>
          <w:trHeight w:val="1363"/>
        </w:trPr>
        <w:tc>
          <w:tcPr>
            <w:tcW w:w="1975" w:type="dxa"/>
          </w:tcPr>
          <w:p w14:paraId="236E9C3A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</w:t>
            </w:r>
          </w:p>
          <w:p w14:paraId="656C266C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R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ecognise and respect the contribution that parents and carers can make to the development and well-being of children and young people</w:t>
            </w:r>
          </w:p>
        </w:tc>
        <w:tc>
          <w:tcPr>
            <w:tcW w:w="2334" w:type="dxa"/>
          </w:tcPr>
          <w:p w14:paraId="010AF6C6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</w:t>
            </w:r>
          </w:p>
          <w:p w14:paraId="1CA9AEDF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K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now how to use ICT to support their professional activities</w:t>
            </w:r>
          </w:p>
        </w:tc>
        <w:tc>
          <w:tcPr>
            <w:tcW w:w="1975" w:type="dxa"/>
          </w:tcPr>
          <w:p w14:paraId="34A6698B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</w:t>
            </w:r>
          </w:p>
          <w:p w14:paraId="6F2BD83E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C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ontribute to the selection and preparation of resources suitable for children and young people’s interests and abilities.</w:t>
            </w:r>
          </w:p>
        </w:tc>
        <w:tc>
          <w:tcPr>
            <w:tcW w:w="1975" w:type="dxa"/>
          </w:tcPr>
          <w:p w14:paraId="0013A373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4" w:type="dxa"/>
          </w:tcPr>
          <w:p w14:paraId="0C721147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</w:t>
            </w:r>
          </w:p>
          <w:p w14:paraId="0F0D8180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dvance learning when working with small groups</w:t>
            </w:r>
          </w:p>
        </w:tc>
      </w:tr>
      <w:tr w:rsidR="00F41BDE" w:rsidRPr="0070796E" w14:paraId="1188DD7F" w14:textId="77777777" w:rsidTr="002D7A41">
        <w:trPr>
          <w:trHeight w:val="1175"/>
        </w:trPr>
        <w:tc>
          <w:tcPr>
            <w:tcW w:w="1975" w:type="dxa"/>
          </w:tcPr>
          <w:p w14:paraId="3C71EA87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</w:t>
            </w:r>
          </w:p>
          <w:p w14:paraId="793F0404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D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emonstrate a commitment to collaborative and cooperative working with colleagues</w:t>
            </w:r>
          </w:p>
        </w:tc>
        <w:tc>
          <w:tcPr>
            <w:tcW w:w="2334" w:type="dxa"/>
          </w:tcPr>
          <w:p w14:paraId="018A0651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</w:t>
            </w:r>
          </w:p>
          <w:p w14:paraId="27210474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K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now how statutory and non-statutory frameworks for the school curriculum relate to the age and ability ranges of the learners they support</w:t>
            </w:r>
          </w:p>
        </w:tc>
        <w:tc>
          <w:tcPr>
            <w:tcW w:w="1975" w:type="dxa"/>
          </w:tcPr>
          <w:p w14:paraId="38B4A45E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</w:tcPr>
          <w:p w14:paraId="05128168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4" w:type="dxa"/>
          </w:tcPr>
          <w:p w14:paraId="31FB2715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31</w:t>
            </w:r>
          </w:p>
          <w:p w14:paraId="0B17223B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dvance learning when working with whole classes without the presence of the assigned teacher</w:t>
            </w:r>
          </w:p>
        </w:tc>
      </w:tr>
      <w:tr w:rsidR="00F41BDE" w:rsidRPr="0070796E" w14:paraId="0DA35F62" w14:textId="77777777" w:rsidTr="002D7A41">
        <w:trPr>
          <w:trHeight w:val="963"/>
        </w:trPr>
        <w:tc>
          <w:tcPr>
            <w:tcW w:w="1975" w:type="dxa"/>
          </w:tcPr>
          <w:p w14:paraId="4AA5FD1F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</w:t>
            </w:r>
          </w:p>
          <w:p w14:paraId="5CEC59A3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I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mprove their own knowledge and practice including responding to advice and feedback.</w:t>
            </w:r>
          </w:p>
        </w:tc>
        <w:tc>
          <w:tcPr>
            <w:tcW w:w="2334" w:type="dxa"/>
          </w:tcPr>
          <w:p w14:paraId="7237B813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</w:t>
            </w:r>
          </w:p>
          <w:p w14:paraId="5E9DA663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U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nderstand the objectives, content and intended outcomes for the learning activities in which they are involved</w:t>
            </w:r>
          </w:p>
        </w:tc>
        <w:tc>
          <w:tcPr>
            <w:tcW w:w="1975" w:type="dxa"/>
          </w:tcPr>
          <w:p w14:paraId="61051CF9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</w:tcPr>
          <w:p w14:paraId="1C3563B6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4" w:type="dxa"/>
          </w:tcPr>
          <w:p w14:paraId="473EFC22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32</w:t>
            </w:r>
          </w:p>
          <w:p w14:paraId="565B74F9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O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rganise and manage learning activities in ways which keep learners safe</w:t>
            </w:r>
          </w:p>
        </w:tc>
      </w:tr>
      <w:tr w:rsidR="00F41BDE" w:rsidRPr="0070796E" w14:paraId="47849FE8" w14:textId="77777777" w:rsidTr="002D7A41">
        <w:trPr>
          <w:trHeight w:val="1363"/>
        </w:trPr>
        <w:tc>
          <w:tcPr>
            <w:tcW w:w="1975" w:type="dxa"/>
          </w:tcPr>
          <w:p w14:paraId="4F8EEDCB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34" w:type="dxa"/>
          </w:tcPr>
          <w:p w14:paraId="3945719E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15</w:t>
            </w:r>
          </w:p>
          <w:p w14:paraId="38249151" w14:textId="77777777" w:rsidR="00F41BDE" w:rsidRPr="0070796E" w:rsidRDefault="0025479A" w:rsidP="00234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K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now how to support learners in accessing the curriculum in accordance with the special educational needs (SEN</w:t>
            </w:r>
            <w:r w:rsidR="0023499B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D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) code of practice and </w:t>
            </w:r>
            <w:r w:rsidR="0023499B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equalities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legislation</w:t>
            </w:r>
          </w:p>
        </w:tc>
        <w:tc>
          <w:tcPr>
            <w:tcW w:w="1975" w:type="dxa"/>
          </w:tcPr>
          <w:p w14:paraId="6DE79EE0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</w:tcPr>
          <w:p w14:paraId="69C6D808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4" w:type="dxa"/>
          </w:tcPr>
          <w:p w14:paraId="0C5A9109" w14:textId="77777777" w:rsidR="0025479A" w:rsidRPr="0070796E" w:rsidRDefault="00DA7BA8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33</w:t>
            </w:r>
          </w:p>
          <w:p w14:paraId="097ACFDA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D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irect the work, where relevant, of other adults in supporting learning.</w:t>
            </w:r>
          </w:p>
        </w:tc>
      </w:tr>
      <w:tr w:rsidR="00F41BDE" w:rsidRPr="0070796E" w14:paraId="38668BE8" w14:textId="77777777" w:rsidTr="002D7A41">
        <w:trPr>
          <w:trHeight w:val="1175"/>
        </w:trPr>
        <w:tc>
          <w:tcPr>
            <w:tcW w:w="1975" w:type="dxa"/>
          </w:tcPr>
          <w:p w14:paraId="45F76C96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34" w:type="dxa"/>
          </w:tcPr>
          <w:p w14:paraId="400D8026" w14:textId="77777777" w:rsidR="0025479A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</w:t>
            </w:r>
          </w:p>
          <w:p w14:paraId="60F9FA7C" w14:textId="77777777" w:rsidR="00F41BDE" w:rsidRPr="0070796E" w:rsidRDefault="0025479A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K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>now how other</w:t>
            </w:r>
            <w:r w:rsidR="00DA7BA8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frameworks</w:t>
            </w:r>
            <w:r w:rsidR="00F41BDE" w:rsidRPr="007079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that support the development and well-being of children and young people, impact upon their practice.</w:t>
            </w:r>
          </w:p>
        </w:tc>
        <w:tc>
          <w:tcPr>
            <w:tcW w:w="1975" w:type="dxa"/>
          </w:tcPr>
          <w:p w14:paraId="710B483A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</w:tcPr>
          <w:p w14:paraId="58DEC976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4" w:type="dxa"/>
          </w:tcPr>
          <w:p w14:paraId="75E39F63" w14:textId="77777777" w:rsidR="00F41BDE" w:rsidRPr="0070796E" w:rsidRDefault="00F41BDE" w:rsidP="008C50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1120F55" w14:textId="77777777" w:rsidR="00E90CA9" w:rsidRDefault="003A5F47" w:rsidP="002E551E">
      <w:pPr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</w:p>
    <w:sectPr w:rsidR="00E90CA9" w:rsidSect="0070796E">
      <w:headerReference w:type="default" r:id="rId6"/>
      <w:footerReference w:type="default" r:id="rId7"/>
      <w:pgSz w:w="12240" w:h="15840"/>
      <w:pgMar w:top="284" w:right="720" w:bottom="3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07976" w14:textId="77777777" w:rsidR="000D0DF4" w:rsidRDefault="000D0DF4" w:rsidP="00FA2F02">
      <w:r>
        <w:separator/>
      </w:r>
    </w:p>
  </w:endnote>
  <w:endnote w:type="continuationSeparator" w:id="0">
    <w:p w14:paraId="078C8D20" w14:textId="77777777" w:rsidR="000D0DF4" w:rsidRDefault="000D0DF4" w:rsidP="00FA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0995" w14:textId="54A84D3C" w:rsidR="0070796E" w:rsidRPr="0070796E" w:rsidRDefault="00F34222">
    <w:pPr>
      <w:pStyle w:val="Footer"/>
      <w:rPr>
        <w:sz w:val="16"/>
        <w:szCs w:val="16"/>
      </w:rPr>
    </w:pPr>
    <w:r>
      <w:rPr>
        <w:sz w:val="16"/>
        <w:szCs w:val="16"/>
      </w:rPr>
      <w:t xml:space="preserve">© HLTA South </w:t>
    </w:r>
    <w:r w:rsidR="002D7A41">
      <w:rPr>
        <w:sz w:val="16"/>
        <w:szCs w:val="16"/>
      </w:rPr>
      <w:fldChar w:fldCharType="begin"/>
    </w:r>
    <w:r w:rsidR="002D7A41">
      <w:rPr>
        <w:sz w:val="16"/>
        <w:szCs w:val="16"/>
      </w:rPr>
      <w:instrText xml:space="preserve"> DATE  \@ "d MMMM yyyy" </w:instrText>
    </w:r>
    <w:r w:rsidR="002D7A41">
      <w:rPr>
        <w:sz w:val="16"/>
        <w:szCs w:val="16"/>
      </w:rPr>
      <w:fldChar w:fldCharType="separate"/>
    </w:r>
    <w:r>
      <w:rPr>
        <w:noProof/>
        <w:sz w:val="16"/>
        <w:szCs w:val="16"/>
      </w:rPr>
      <w:t>17 August 2026</w:t>
    </w:r>
    <w:r w:rsidR="002D7A41">
      <w:rPr>
        <w:sz w:val="16"/>
        <w:szCs w:val="16"/>
      </w:rPr>
      <w:fldChar w:fldCharType="end"/>
    </w:r>
    <w:r w:rsidR="0070796E" w:rsidRPr="0070796E">
      <w:rPr>
        <w:sz w:val="16"/>
        <w:szCs w:val="16"/>
      </w:rPr>
      <w:tab/>
    </w:r>
  </w:p>
  <w:p w14:paraId="668B77D6" w14:textId="77777777" w:rsidR="0070796E" w:rsidRDefault="0070796E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65B3" w14:textId="77777777" w:rsidR="000D0DF4" w:rsidRDefault="000D0DF4" w:rsidP="00FA2F02">
      <w:r>
        <w:separator/>
      </w:r>
    </w:p>
  </w:footnote>
  <w:footnote w:type="continuationSeparator" w:id="0">
    <w:p w14:paraId="7007B51B" w14:textId="77777777" w:rsidR="000D0DF4" w:rsidRDefault="000D0DF4" w:rsidP="00FA2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246C6" w14:textId="712CC9A3" w:rsidR="00F34222" w:rsidRDefault="00F34222" w:rsidP="00F34222">
    <w:pPr>
      <w:pStyle w:val="Header"/>
      <w:tabs>
        <w:tab w:val="center" w:pos="4819"/>
        <w:tab w:val="right" w:pos="9638"/>
      </w:tabs>
      <w:rPr>
        <w:rFonts w:ascii="Calibri" w:hAnsi="Calibri" w:cs="Calibri"/>
        <w:sz w:val="18"/>
        <w:szCs w:val="18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0083855B" wp14:editId="00CE5898">
          <wp:simplePos x="0" y="0"/>
          <wp:positionH relativeFrom="column">
            <wp:posOffset>5859780</wp:posOffset>
          </wp:positionH>
          <wp:positionV relativeFrom="paragraph">
            <wp:posOffset>-183515</wp:posOffset>
          </wp:positionV>
          <wp:extent cx="409575" cy="409575"/>
          <wp:effectExtent l="0" t="0" r="9525" b="9525"/>
          <wp:wrapTight wrapText="bothSides">
            <wp:wrapPolygon edited="0">
              <wp:start x="0" y="0"/>
              <wp:lineTo x="0" y="21098"/>
              <wp:lineTo x="21098" y="21098"/>
              <wp:lineTo x="21098" y="0"/>
              <wp:lineTo x="0" y="0"/>
            </wp:wrapPolygon>
          </wp:wrapTight>
          <wp:docPr id="20368620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62053" name="Picture 20368620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57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sz w:val="18"/>
        <w:szCs w:val="18"/>
      </w:rPr>
      <w:t>26/27</w:t>
    </w:r>
  </w:p>
  <w:p w14:paraId="22775F29" w14:textId="5E406228" w:rsidR="0070796E" w:rsidRPr="00F34222" w:rsidRDefault="00F34222" w:rsidP="00F34222">
    <w:pPr>
      <w:pStyle w:val="Header"/>
      <w:tabs>
        <w:tab w:val="center" w:pos="4819"/>
        <w:tab w:val="right" w:pos="9638"/>
      </w:tabs>
      <w:rPr>
        <w:rFonts w:ascii="Calibri" w:hAnsi="Calibri" w:cs="Calibri"/>
        <w:b/>
        <w:bCs/>
      </w:rPr>
    </w:pPr>
    <w:r w:rsidRPr="004F1B0F">
      <w:rPr>
        <w:rFonts w:ascii="Calibri" w:hAnsi="Calibri" w:cs="Calibri"/>
        <w:b/>
        <w:bCs/>
      </w:rPr>
      <w:t xml:space="preserve">ANNEX </w:t>
    </w:r>
    <w:r>
      <w:rPr>
        <w:rFonts w:ascii="Calibri" w:hAnsi="Calibri" w:cs="Calibri"/>
        <w:b/>
        <w:bCs/>
      </w:rPr>
      <w:t>8</w:t>
    </w:r>
    <w:r w:rsidR="0070796E" w:rsidRPr="00B175C7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F8"/>
    <w:rsid w:val="00030680"/>
    <w:rsid w:val="000D0DF4"/>
    <w:rsid w:val="001D5F84"/>
    <w:rsid w:val="002025A3"/>
    <w:rsid w:val="00211B1D"/>
    <w:rsid w:val="0023499B"/>
    <w:rsid w:val="002377CF"/>
    <w:rsid w:val="0025479A"/>
    <w:rsid w:val="0028148C"/>
    <w:rsid w:val="002D7A41"/>
    <w:rsid w:val="002E551E"/>
    <w:rsid w:val="00380120"/>
    <w:rsid w:val="003A5F47"/>
    <w:rsid w:val="004E348E"/>
    <w:rsid w:val="00522D7B"/>
    <w:rsid w:val="00533246"/>
    <w:rsid w:val="005555C2"/>
    <w:rsid w:val="005575C1"/>
    <w:rsid w:val="005B0D8C"/>
    <w:rsid w:val="005D58F6"/>
    <w:rsid w:val="00641695"/>
    <w:rsid w:val="006468E3"/>
    <w:rsid w:val="0070796E"/>
    <w:rsid w:val="00713910"/>
    <w:rsid w:val="00797DAD"/>
    <w:rsid w:val="007A6E86"/>
    <w:rsid w:val="007A746F"/>
    <w:rsid w:val="007F48B8"/>
    <w:rsid w:val="00816D2F"/>
    <w:rsid w:val="008A51F7"/>
    <w:rsid w:val="008C4BD0"/>
    <w:rsid w:val="008C505B"/>
    <w:rsid w:val="008E636C"/>
    <w:rsid w:val="00A228E8"/>
    <w:rsid w:val="00B175C7"/>
    <w:rsid w:val="00C54AF7"/>
    <w:rsid w:val="00C61C49"/>
    <w:rsid w:val="00C96ED6"/>
    <w:rsid w:val="00DA7BA8"/>
    <w:rsid w:val="00E005F8"/>
    <w:rsid w:val="00E90CA9"/>
    <w:rsid w:val="00F34222"/>
    <w:rsid w:val="00F41BDE"/>
    <w:rsid w:val="00F52043"/>
    <w:rsid w:val="00F528F5"/>
    <w:rsid w:val="00FA2F02"/>
    <w:rsid w:val="00FA3056"/>
    <w:rsid w:val="00FA4CCF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6D6164"/>
  <w15:chartTrackingRefBased/>
  <w15:docId w15:val="{D8650FF3-C086-4960-8762-66224E71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05F8"/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0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A2F02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FA2F02"/>
    <w:rPr>
      <w:rFonts w:ascii="Arial" w:hAnsi="Arial" w:cs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FA2F02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FA2F02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Those awarded HLTA status must meet all of the following 33 standards:</vt:lpstr>
    </vt:vector>
  </TitlesOfParts>
  <Company>Grizli777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HLTA standards</dc:title>
  <dc:subject/>
  <dc:creator>John Smith;Maxine Pountney</dc:creator>
  <cp:keywords/>
  <cp:lastModifiedBy>Pountney, Richard P</cp:lastModifiedBy>
  <cp:revision>2</cp:revision>
  <cp:lastPrinted>2008-01-10T08:46:00Z</cp:lastPrinted>
  <dcterms:created xsi:type="dcterms:W3CDTF">2026-08-17T08:26:00Z</dcterms:created>
  <dcterms:modified xsi:type="dcterms:W3CDTF">2026-08-17T08:26:00Z</dcterms:modified>
</cp:coreProperties>
</file>